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r w:rsidRPr="00B37DA2">
        <w:rPr>
          <w:rFonts w:ascii="Times New Roman" w:eastAsia="Arial" w:hAnsi="Times New Roman" w:cs="Times New Roman"/>
          <w:color w:val="1A171C"/>
          <w:sz w:val="24"/>
          <w:szCs w:val="24"/>
          <w:shd w:val="clear" w:color="auto" w:fill="FFFFFF"/>
          <w:lang w:eastAsia="hu-HU" w:bidi="hu-HU"/>
        </w:rPr>
        <w:lastRenderedPageBreak/>
        <w:t>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 xml:space="preserve">általános nyomtatványkitöltő (ÁNYK) program használatával </w:t>
      </w:r>
      <w:bookmarkStart w:id="0" w:name="_GoBack"/>
      <w:bookmarkEnd w:id="0"/>
      <w:r w:rsidRPr="00B37DA2">
        <w:rPr>
          <w:rFonts w:ascii="Times New Roman" w:eastAsia="Arial" w:hAnsi="Times New Roman" w:cs="Times New Roman"/>
          <w:b/>
          <w:bCs/>
          <w:color w:val="1A171C"/>
          <w:sz w:val="24"/>
          <w:szCs w:val="24"/>
        </w:rPr>
        <w:t>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xml:space="preserve">. A III. </w:t>
      </w:r>
      <w:r w:rsidRPr="00B37DA2">
        <w:rPr>
          <w:rFonts w:ascii="Times New Roman" w:eastAsia="Arial" w:hAnsi="Times New Roman" w:cs="Times New Roman"/>
          <w:color w:val="1A171C"/>
          <w:sz w:val="24"/>
          <w:szCs w:val="24"/>
          <w:shd w:val="clear" w:color="auto" w:fill="FFFFFF"/>
          <w:lang w:eastAsia="hu-HU" w:bidi="hu-HU"/>
        </w:rPr>
        <w:lastRenderedPageBreak/>
        <w:t>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xml:space="preserve">, függetlenül </w:t>
      </w:r>
      <w:r w:rsidRPr="00B37DA2">
        <w:rPr>
          <w:rFonts w:ascii="Times New Roman" w:eastAsia="Arial" w:hAnsi="Times New Roman" w:cs="Times New Roman"/>
          <w:color w:val="1A171C"/>
          <w:sz w:val="24"/>
          <w:szCs w:val="24"/>
          <w:shd w:val="clear" w:color="auto" w:fill="FFFFFF"/>
          <w:lang w:eastAsia="hu-HU" w:bidi="hu-HU"/>
        </w:rPr>
        <w:lastRenderedPageBreak/>
        <w:t>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w:t>
      </w:r>
      <w:r w:rsidRPr="00B37DA2">
        <w:rPr>
          <w:rFonts w:ascii="Times New Roman" w:eastAsia="Arial" w:hAnsi="Times New Roman" w:cs="Times New Roman"/>
          <w:color w:val="1A171C"/>
          <w:sz w:val="24"/>
          <w:szCs w:val="24"/>
          <w:shd w:val="clear" w:color="auto" w:fill="FFFFFF"/>
          <w:lang w:eastAsia="hu-HU" w:bidi="hu-HU"/>
        </w:rPr>
        <w:lastRenderedPageBreak/>
        <w:t>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előlegfizetési időszak általános esetben a bevallás benyújtás hónapját követő második hónap 1. napjától </w:t>
      </w:r>
      <w:r w:rsidRPr="00B37DA2">
        <w:rPr>
          <w:rFonts w:ascii="Times New Roman" w:eastAsia="Arial" w:hAnsi="Times New Roman" w:cs="Times New Roman"/>
          <w:color w:val="1A171C"/>
          <w:sz w:val="24"/>
          <w:szCs w:val="24"/>
          <w:shd w:val="clear" w:color="auto" w:fill="FFFFFF"/>
          <w:lang w:eastAsia="hu-HU" w:bidi="hu-HU"/>
        </w:rPr>
        <w:lastRenderedPageBreak/>
        <w:t>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A0" w:rsidRDefault="000043A0" w:rsidP="003611F0">
      <w:pPr>
        <w:spacing w:after="0" w:line="240" w:lineRule="auto"/>
      </w:pPr>
      <w:r>
        <w:separator/>
      </w:r>
    </w:p>
  </w:endnote>
  <w:endnote w:type="continuationSeparator" w:id="0">
    <w:p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A0" w:rsidRDefault="000043A0" w:rsidP="003611F0">
      <w:pPr>
        <w:spacing w:after="0" w:line="240" w:lineRule="auto"/>
      </w:pPr>
      <w:r>
        <w:separator/>
      </w:r>
    </w:p>
  </w:footnote>
  <w:footnote w:type="continuationSeparator" w:id="0">
    <w:p w:rsidR="000043A0" w:rsidRDefault="000043A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D6502E0B-FB7A-444D-9F5A-D8C939BA6B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612DEF-D27A-4142-B5B0-2047BC19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Nagyné dr. Farkas Anikó</dc:creator>
  <cp:lastModifiedBy>Kanyó Lóránt István</cp:lastModifiedBy>
  <cp:revision>9</cp:revision>
  <cp:lastPrinted>2020-12-21T08:32:00Z</cp:lastPrinted>
  <dcterms:created xsi:type="dcterms:W3CDTF">2020-12-17T10:41:00Z</dcterms:created>
  <dcterms:modified xsi:type="dcterms:W3CDTF">2020-12-21T10:30:00Z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